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391183DB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</w:p>
    <w:p w14:paraId="6FF6EABE" w14:textId="1246F64F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="008D7359">
        <w:rPr>
          <w:rFonts w:ascii="IranNastaliq" w:hAnsi="IranNastaliq" w:cs="B Nazanin" w:hint="cs"/>
          <w:color w:val="0F243E" w:themeColor="text2" w:themeShade="80"/>
          <w:rtl/>
        </w:rPr>
        <w:t>ي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="008D7359">
        <w:rPr>
          <w:rFonts w:ascii="IranNastaliq" w:hAnsi="IranNastaliq" w:cs="B Nazanin" w:hint="cs"/>
          <w:color w:val="0F243E" w:themeColor="text2" w:themeShade="80"/>
          <w:rtl/>
          <w:lang w:bidi="fa-IR"/>
        </w:rPr>
        <w:t>ي</w:t>
      </w:r>
    </w:p>
    <w:p w14:paraId="6B90E83F" w14:textId="6124BD1E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</w:t>
      </w:r>
      <w:r w:rsidR="008D7359">
        <w:rPr>
          <w:rFonts w:asciiTheme="majorBidi" w:hAnsiTheme="majorBidi" w:cs="B Titr" w:hint="cs"/>
          <w:sz w:val="32"/>
          <w:szCs w:val="32"/>
          <w:rtl/>
          <w:lang w:bidi="fa-IR"/>
        </w:rPr>
        <w:t>ي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5A764E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ه دهنده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  <w:lang w:bidi="fa-IR"/>
        </w:rPr>
        <w:t>پرستاري بهداشت جامعه و سالمندي</w:t>
      </w:r>
      <w:r w:rsidR="008D7359">
        <w:rPr>
          <w:rFonts w:cs="B Nazanin"/>
          <w:b/>
          <w:bCs/>
          <w:lang w:bidi="fa-IR"/>
        </w:rPr>
        <w:tab/>
      </w:r>
    </w:p>
    <w:p w14:paraId="14B91A52" w14:textId="5BD2346E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445BE">
        <w:rPr>
          <w:rFonts w:cs="B Nazanin" w:hint="cs"/>
          <w:b/>
          <w:bCs/>
          <w:rtl/>
        </w:rPr>
        <w:t>نظريه ها، مدل</w:t>
      </w:r>
      <w:r w:rsidR="008D7359">
        <w:rPr>
          <w:rFonts w:cs="B Nazanin" w:hint="cs"/>
          <w:b/>
          <w:bCs/>
          <w:rtl/>
        </w:rPr>
        <w:t>هاي پرستاري سلامت جامعه و کاربرد آنها</w:t>
      </w:r>
    </w:p>
    <w:p w14:paraId="1C338A3E" w14:textId="2478BFE6" w:rsidR="00B4711B" w:rsidRPr="0038172F" w:rsidRDefault="00F51BF7" w:rsidP="008049E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049EB">
        <w:rPr>
          <w:rFonts w:asciiTheme="majorBidi" w:hAnsiTheme="majorBidi" w:cs="B Nazanin" w:hint="cs"/>
          <w:sz w:val="24"/>
          <w:szCs w:val="24"/>
          <w:rtl/>
          <w:lang w:bidi="fa-IR"/>
        </w:rPr>
        <w:t>6990003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0E546F2" w:rsidR="00F51BF7" w:rsidRPr="00B37985" w:rsidRDefault="00E270DE" w:rsidP="00A01D0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01D0A">
        <w:rPr>
          <w:rFonts w:asciiTheme="majorBidi" w:hAnsiTheme="majorBidi" w:cs="B Nazanin" w:hint="cs"/>
          <w:sz w:val="24"/>
          <w:szCs w:val="24"/>
          <w:rtl/>
          <w:lang w:bidi="fa-IR"/>
        </w:rPr>
        <w:t>1.5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نظري، </w:t>
      </w:r>
      <w:r w:rsidR="00A01D0A">
        <w:rPr>
          <w:rFonts w:asciiTheme="majorBidi" w:hAnsiTheme="majorBidi" w:cs="B Nazanin" w:hint="cs"/>
          <w:sz w:val="24"/>
          <w:szCs w:val="24"/>
          <w:rtl/>
          <w:lang w:bidi="fa-IR"/>
        </w:rPr>
        <w:t>0.5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  <w:r w:rsidR="008D7359" w:rsidRP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کارآموزي</w:t>
      </w:r>
    </w:p>
    <w:p w14:paraId="5E1D05E7" w14:textId="3F7E6E46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8D7359" w:rsidRPr="008D7359">
        <w:rPr>
          <w:rFonts w:cs="B Nazanin" w:hint="cs"/>
          <w:rtl/>
          <w:lang w:bidi="fa-IR"/>
        </w:rPr>
        <w:t>دکتر رضا نگارنده</w:t>
      </w:r>
    </w:p>
    <w:p w14:paraId="1A7850EE" w14:textId="0616F715" w:rsidR="00F51BF7" w:rsidRPr="0038172F" w:rsidRDefault="00E270DE" w:rsidP="008D735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8D7359" w:rsidRPr="008D7359">
        <w:rPr>
          <w:rFonts w:cs="B Nazanin" w:hint="cs"/>
          <w:rtl/>
          <w:lang w:bidi="fa-IR"/>
        </w:rPr>
        <w:t>دکتر رضا نگارنده</w:t>
      </w:r>
    </w:p>
    <w:p w14:paraId="14C56C71" w14:textId="6652F0C6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45313B8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cs="B Nazanin" w:hint="cs"/>
          <w:b/>
          <w:bCs/>
          <w:rtl/>
        </w:rPr>
        <w:t>پرستاري سلامت جامعه/ کارشناسي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3D56C0F4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221B7A9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پرستاري</w:t>
      </w:r>
    </w:p>
    <w:p w14:paraId="0FC2E735" w14:textId="783D9C5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پرستاري و مامايي دانشگاه علوم پزشکي تهران</w:t>
      </w:r>
    </w:p>
    <w:p w14:paraId="432C8EAE" w14:textId="7A677C0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09126188175</w:t>
      </w:r>
    </w:p>
    <w:p w14:paraId="1F6A8C6B" w14:textId="4E032875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ک: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/>
          <w:sz w:val="24"/>
          <w:szCs w:val="24"/>
          <w:lang w:bidi="fa-IR"/>
        </w:rPr>
        <w:t>rnegarandeh@tums.ac.ir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DEAD4D3" w14:textId="70E36E72" w:rsidR="007C1F60" w:rsidRPr="006B7D33" w:rsidRDefault="00E270DE" w:rsidP="00442BE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مختلف محتوا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رشد حرفه پرستار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زا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ده رو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کرد علم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تول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د دانش و نظر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ه ها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بر مبنا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 تجرب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است. نظر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 ها و </w:t>
      </w:r>
      <w:r w:rsidR="00442BE8">
        <w:rPr>
          <w:rFonts w:ascii="IranNastaliq" w:hAnsi="IranNastaliq" w:cs="B Nazanin" w:hint="cs"/>
          <w:sz w:val="24"/>
          <w:szCs w:val="24"/>
          <w:rtl/>
          <w:lang w:bidi="fa-IR"/>
        </w:rPr>
        <w:t>مدلها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واقع همان دانش اختصاص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و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ژه پرستار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هستند که نحوه بکارگ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ر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 و مهارتها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مراقبت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درمان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هدا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ت و تسه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>ل م</w:t>
      </w:r>
      <w:r w:rsidR="00B22D15">
        <w:rPr>
          <w:rFonts w:ascii="IranNastaliq" w:hAnsi="IranNastaliq" w:cs="B Nazanin" w:hint="cs"/>
          <w:sz w:val="24"/>
          <w:szCs w:val="24"/>
          <w:rtl/>
          <w:lang w:bidi="fa-IR"/>
        </w:rPr>
        <w:t>ي</w:t>
      </w:r>
      <w:r w:rsidR="006B7D33" w:rsidRPr="006B7D3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کند</w:t>
      </w:r>
      <w:r w:rsidR="006B7D33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14:paraId="32450AF9" w14:textId="4AA60B36" w:rsidR="008D7359" w:rsidRPr="007C1F60" w:rsidRDefault="00E270DE" w:rsidP="00442BE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D7359" w:rsidRPr="008D735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42BE8">
        <w:rPr>
          <w:rFonts w:cs="B Nazanin" w:hint="cs"/>
          <w:sz w:val="24"/>
          <w:szCs w:val="24"/>
          <w:rtl/>
          <w:lang w:bidi="fa-IR"/>
        </w:rPr>
        <w:t>آشنايي با انواع نظريه ها و مدل</w:t>
      </w:r>
      <w:r w:rsidR="008D7359" w:rsidRPr="007C1F60">
        <w:rPr>
          <w:rFonts w:cs="B Nazanin" w:hint="cs"/>
          <w:sz w:val="24"/>
          <w:szCs w:val="24"/>
          <w:rtl/>
          <w:lang w:bidi="fa-IR"/>
        </w:rPr>
        <w:t>هاي مهم در رشته پرستاري سلامت جامعه و بکار گيري آن ها در عرصه هاي مختلف</w:t>
      </w:r>
    </w:p>
    <w:p w14:paraId="64F99659" w14:textId="317D69A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4F1A568A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52044BF" w14:textId="289423DF" w:rsidR="008D7359" w:rsidRPr="007C1F60" w:rsidRDefault="008D7359" w:rsidP="00442BE8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 xml:space="preserve">با تعاريف نظريه و </w:t>
      </w:r>
      <w:r w:rsidR="00442BE8">
        <w:rPr>
          <w:rFonts w:cs="B Nazanin" w:hint="cs"/>
          <w:sz w:val="24"/>
          <w:szCs w:val="24"/>
          <w:rtl/>
          <w:lang w:bidi="fa-IR"/>
        </w:rPr>
        <w:t xml:space="preserve">مدل </w:t>
      </w:r>
      <w:r w:rsidRPr="007C1F60">
        <w:rPr>
          <w:rFonts w:cs="B Nazanin" w:hint="cs"/>
          <w:sz w:val="24"/>
          <w:szCs w:val="24"/>
          <w:rtl/>
          <w:lang w:bidi="fa-IR"/>
        </w:rPr>
        <w:t xml:space="preserve">آشنا شود. </w:t>
      </w:r>
    </w:p>
    <w:p w14:paraId="41FA055D" w14:textId="3D642911" w:rsidR="008D7359" w:rsidRPr="007C1F60" w:rsidRDefault="008D7359" w:rsidP="008D735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 xml:space="preserve">تاريخچه ظهور نظريه ها و </w:t>
      </w:r>
      <w:r w:rsidR="00442BE8">
        <w:rPr>
          <w:rFonts w:cs="B Nazanin" w:hint="cs"/>
          <w:sz w:val="24"/>
          <w:szCs w:val="24"/>
          <w:rtl/>
          <w:lang w:bidi="fa-IR"/>
        </w:rPr>
        <w:t>مدل</w:t>
      </w:r>
      <w:r w:rsidRPr="007C1F60">
        <w:rPr>
          <w:rFonts w:cs="B Nazanin" w:hint="cs"/>
          <w:sz w:val="24"/>
          <w:szCs w:val="24"/>
          <w:rtl/>
          <w:lang w:bidi="fa-IR"/>
        </w:rPr>
        <w:t>ها را بشناسد.</w:t>
      </w:r>
    </w:p>
    <w:p w14:paraId="2FACA08B" w14:textId="1418AFE6" w:rsidR="008D7359" w:rsidRPr="007C1F60" w:rsidRDefault="008D7359" w:rsidP="008D735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 xml:space="preserve">فرايند پرستاري را به عنوان </w:t>
      </w:r>
      <w:r w:rsidR="00442BE8">
        <w:rPr>
          <w:rFonts w:cs="B Nazanin" w:hint="cs"/>
          <w:sz w:val="24"/>
          <w:szCs w:val="24"/>
          <w:rtl/>
          <w:lang w:bidi="fa-IR"/>
        </w:rPr>
        <w:t>مدل</w:t>
      </w:r>
      <w:r w:rsidRPr="007C1F60">
        <w:rPr>
          <w:rFonts w:cs="B Nazanin" w:hint="cs"/>
          <w:sz w:val="24"/>
          <w:szCs w:val="24"/>
          <w:rtl/>
          <w:lang w:bidi="fa-IR"/>
        </w:rPr>
        <w:t xml:space="preserve"> در خدمات پرستاري بکار گيرد.</w:t>
      </w:r>
    </w:p>
    <w:p w14:paraId="0C97D395" w14:textId="77777777" w:rsidR="008D7359" w:rsidRPr="007C1F60" w:rsidRDefault="008D7359" w:rsidP="008D735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>نظريه پردازان مهم پرستاري و نظريه هاي آن ها بشناسد.</w:t>
      </w:r>
    </w:p>
    <w:p w14:paraId="379CC1DD" w14:textId="31A57984" w:rsidR="008D7359" w:rsidRPr="007C1F60" w:rsidRDefault="008D7359" w:rsidP="00442BE8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 xml:space="preserve">با نظريه ها و </w:t>
      </w:r>
      <w:r w:rsidR="00442BE8">
        <w:rPr>
          <w:rFonts w:cs="B Nazanin" w:hint="cs"/>
          <w:sz w:val="24"/>
          <w:szCs w:val="24"/>
          <w:rtl/>
          <w:lang w:bidi="fa-IR"/>
        </w:rPr>
        <w:t>مدل</w:t>
      </w:r>
      <w:r w:rsidRPr="007C1F60">
        <w:rPr>
          <w:rFonts w:cs="B Nazanin" w:hint="cs"/>
          <w:sz w:val="24"/>
          <w:szCs w:val="24"/>
          <w:rtl/>
          <w:lang w:bidi="fa-IR"/>
        </w:rPr>
        <w:t>هاي پرکاربرد را در پرستاري بهداشت جامعه آشنا شده و آن ها در ارايه خدمات سلامت جامعه بکار گيرد.</w:t>
      </w:r>
    </w:p>
    <w:p w14:paraId="65DB74E5" w14:textId="77777777" w:rsidR="00924FDC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356471B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</w:t>
            </w:r>
            <w:r w:rsidR="008D7359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ي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B5654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</w:t>
            </w:r>
            <w:r w:rsidR="008D7359">
              <w:rPr>
                <w:rFonts w:ascii="Arial" w:eastAsia="Calibri" w:hAnsi="Arial" w:cs="B Nazanin" w:hint="cs"/>
                <w:rtl/>
                <w:lang w:bidi="fa-IR"/>
              </w:rPr>
              <w:t>ي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7877A7E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5654">
              <w:rPr>
                <w:rFonts w:ascii="Arial" w:eastAsia="Calibri" w:hAnsi="Arial" w:cs="B Nazanin"/>
                <w:highlight w:val="black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</w:p>
        </w:tc>
        <w:tc>
          <w:tcPr>
            <w:tcW w:w="3120" w:type="dxa"/>
          </w:tcPr>
          <w:p w14:paraId="0D732092" w14:textId="5E5380C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>
              <w:rPr>
                <w:rFonts w:ascii="Arial" w:eastAsia="Calibri" w:hAnsi="Arial" w:cs="B Nazanin" w:hint="cs"/>
                <w:rtl/>
              </w:rPr>
              <w:t>ب</w:t>
            </w:r>
            <w:r w:rsidR="008D7359">
              <w:rPr>
                <w:rFonts w:ascii="Arial" w:eastAsia="Calibri" w:hAnsi="Arial" w:cs="B Nazanin" w:hint="cs"/>
                <w:rtl/>
              </w:rPr>
              <w:t>ي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237A3534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ادده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- 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ادگ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 به 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آموزش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5530316E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مجاز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61C243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 xml:space="preserve"> د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ج</w:t>
      </w:r>
      <w:r w:rsidR="008D7359">
        <w:rPr>
          <w:rFonts w:ascii="Arial" w:eastAsia="Calibri" w:hAnsi="Arial" w:cs="B Nazanin" w:hint="cs"/>
          <w:rtl/>
        </w:rPr>
        <w:t>ي</w:t>
      </w:r>
      <w:r w:rsidRPr="00B80410">
        <w:rPr>
          <w:rFonts w:ascii="Arial" w:eastAsia="Calibri" w:hAnsi="Arial" w:cs="B Nazanin" w:hint="cs"/>
          <w:rtl/>
        </w:rPr>
        <w:t>تال</w:t>
      </w:r>
    </w:p>
    <w:p w14:paraId="66B707C4" w14:textId="21621A5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محتوا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الکترون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ک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</w:p>
    <w:p w14:paraId="16B1DA26" w14:textId="21507EAF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35D48C4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0753508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و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9383188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B5654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="00B80410" w:rsidRPr="00B80410">
        <w:rPr>
          <w:rFonts w:ascii="Arial" w:eastAsia="Calibri" w:hAnsi="Arial" w:cs="B Nazanin" w:hint="cs"/>
          <w:rtl/>
        </w:rPr>
        <w:t xml:space="preserve">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32217C8A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5E4F82F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حضور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58BEDABE" w14:textId="37CB697F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5654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سخنران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تعامل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(پرسش و پاسخ، کوئ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ز، بحث گروه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01EC07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بحث در گروهها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69A4FB1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فا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04CFEB4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اکتشاف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هدا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7583736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B5654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ت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1465A080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0740C7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سنار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654E902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bookmarkStart w:id="0" w:name="_GoBack"/>
      <w:bookmarkEnd w:id="0"/>
      <w:r w:rsidRPr="005172AE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استفاده از دانشجو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ان در 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(تدر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س توسط همتا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18DF609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ادگ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>ر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مبتن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بر باز</w:t>
      </w:r>
      <w:r w:rsidR="008D7359">
        <w:rPr>
          <w:rFonts w:ascii="Arial" w:eastAsia="Calibri" w:hAnsi="Arial" w:cs="B Nazanin" w:hint="cs"/>
          <w:rtl/>
        </w:rPr>
        <w:t>ي</w:t>
      </w:r>
      <w:r w:rsidRPr="00DB4835">
        <w:rPr>
          <w:rFonts w:ascii="Arial" w:eastAsia="Calibri" w:hAnsi="Arial" w:cs="B Nazanin" w:hint="cs"/>
          <w:rtl/>
        </w:rPr>
        <w:t xml:space="preserve"> </w:t>
      </w:r>
    </w:p>
    <w:p w14:paraId="1D330378" w14:textId="62CD0E70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</w:t>
      </w:r>
      <w:r w:rsidR="008D7359">
        <w:rPr>
          <w:rFonts w:ascii="Arial" w:eastAsia="Calibri" w:hAnsi="Arial" w:cs="B Nazanin" w:hint="cs"/>
          <w:rtl/>
        </w:rPr>
        <w:t>ي</w:t>
      </w:r>
      <w:r w:rsidRPr="0012159D">
        <w:rPr>
          <w:rFonts w:ascii="Arial" w:eastAsia="Calibri" w:hAnsi="Arial" w:cs="B Nazanin" w:hint="cs"/>
          <w:rtl/>
        </w:rPr>
        <w:t>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FC38212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کرد ترک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</w:p>
    <w:p w14:paraId="622F1109" w14:textId="1B954C3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ب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>ها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رمجموعه رو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کردها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آموز</w:t>
      </w:r>
      <w:r w:rsidRPr="007A289E">
        <w:rPr>
          <w:rFonts w:ascii="Arial" w:eastAsia="Calibri" w:hAnsi="Arial" w:cs="B Nazanin" w:hint="cs"/>
          <w:rtl/>
        </w:rPr>
        <w:t>ش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مجاز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 xml:space="preserve"> و حضور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 w:hint="cs"/>
          <w:rtl/>
        </w:rPr>
        <w:t>، به کار م</w:t>
      </w:r>
      <w:r w:rsidR="008D7359">
        <w:rPr>
          <w:rFonts w:ascii="Arial" w:eastAsia="Calibri" w:hAnsi="Arial" w:cs="B Nazanin" w:hint="cs"/>
          <w:rtl/>
        </w:rPr>
        <w:t>ي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19EA39DD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</w:t>
      </w:r>
      <w:r w:rsidR="008D7359">
        <w:rPr>
          <w:rFonts w:ascii="Arial" w:eastAsia="Calibri" w:hAnsi="Arial" w:cs="B Nazanin" w:hint="cs"/>
          <w:rtl/>
        </w:rPr>
        <w:t>ي</w:t>
      </w:r>
      <w:r w:rsidRPr="007A289E">
        <w:rPr>
          <w:rFonts w:ascii="Arial" w:eastAsia="Calibri" w:hAnsi="Arial" w:cs="B Nazanin" w:hint="cs"/>
          <w:rtl/>
        </w:rPr>
        <w:t>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156EA5E4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8D7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7DA6722B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ادگ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>/ تکال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ف دانشجو </w:t>
            </w:r>
          </w:p>
        </w:tc>
        <w:tc>
          <w:tcPr>
            <w:tcW w:w="2378" w:type="dxa"/>
          </w:tcPr>
          <w:p w14:paraId="3D37B49B" w14:textId="6BFB9E0D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="008D7359">
              <w:rPr>
                <w:rFonts w:ascii="IranNastaliq" w:hAnsi="IranNastaliq" w:cs="B Nazanin" w:hint="cs"/>
                <w:rtl/>
                <w:lang w:bidi="fa-IR"/>
              </w:rPr>
              <w:t>ي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8D7359" w14:paraId="0F0C5D07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58236F8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B9E18F5" w14:textId="5DE35B74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2B305B0D" w14:textId="6850D479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51445A70" w14:textId="69513944" w:rsidR="008D7359" w:rsidRPr="00346B2A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تعريف مفاهيم (مفهوم، گزاره، پيش فرض، </w:t>
            </w:r>
            <w:r w:rsidR="00442BE8">
              <w:rPr>
                <w:rFonts w:cs="Mitra" w:hint="cs"/>
                <w:sz w:val="26"/>
                <w:szCs w:val="26"/>
                <w:rtl/>
                <w:lang w:bidi="fa-IR"/>
              </w:rPr>
              <w:t>مدل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و نظريه</w:t>
            </w:r>
            <w:r w:rsidRPr="00346B2A">
              <w:rPr>
                <w:rFonts w:cs="Mitra" w:hint="cs"/>
                <w:sz w:val="26"/>
                <w:szCs w:val="26"/>
                <w:rtl/>
                <w:lang w:bidi="fa-IR"/>
              </w:rPr>
              <w:t>)</w:t>
            </w:r>
          </w:p>
          <w:p w14:paraId="7921D8DC" w14:textId="77777777" w:rsidR="008D7359" w:rsidRPr="00EB6DB3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228979A4" w14:textId="77777777" w:rsidR="008D7359" w:rsidRPr="00EB6DB3" w:rsidRDefault="008D7359" w:rsidP="008D73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8D7359" w14:paraId="27DD1B05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33CA169D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3093118" w14:textId="7DE00570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2AD227D" w14:textId="5550E579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464E6A41" w14:textId="0EE4543D" w:rsidR="008D7359" w:rsidRPr="00346B2A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rtl/>
                <w:lang w:bidi="fa-IR"/>
              </w:rPr>
            </w:pP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تاريخچه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ظهور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نظريه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ها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و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="00442BE8">
              <w:rPr>
                <w:rFonts w:cs="Mitra" w:hint="eastAsia"/>
                <w:sz w:val="26"/>
                <w:szCs w:val="26"/>
                <w:rtl/>
                <w:lang w:bidi="fa-IR"/>
              </w:rPr>
              <w:t>مدل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ها</w:t>
            </w:r>
          </w:p>
          <w:p w14:paraId="1710D4CE" w14:textId="77777777" w:rsidR="008D7359" w:rsidRPr="00EB6DB3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BC0A093" w14:textId="77777777" w:rsidR="008D7359" w:rsidRPr="00EB6DB3" w:rsidRDefault="008D7359" w:rsidP="008D73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8D7359" w14:paraId="37988758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795CFFE3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1162E175" w14:textId="6A2CFB1B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96FFB74" w14:textId="4CC3F4FF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780E6296" w14:textId="494F2B36" w:rsidR="008D7359" w:rsidRPr="00EB6DB3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فرايند پرستاري با تاکيد بر بنيادهاي نظري و کاربرد آن در عمل</w:t>
            </w:r>
          </w:p>
        </w:tc>
        <w:tc>
          <w:tcPr>
            <w:tcW w:w="847" w:type="dxa"/>
          </w:tcPr>
          <w:p w14:paraId="5AE8FF57" w14:textId="77777777" w:rsidR="008D7359" w:rsidRPr="00EB6DB3" w:rsidRDefault="008D7359" w:rsidP="008D73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8D7359" w14:paraId="014D555C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55F67C90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4BAAE55" w14:textId="21CE49AB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68BEE811" w14:textId="7757EA94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7ED9B14F" w14:textId="7D398A29" w:rsidR="008D7359" w:rsidRPr="00EB6DB3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فرايند</w:t>
            </w:r>
            <w:r w:rsidRPr="00346B2A">
              <w:rPr>
                <w:rFonts w:cs="Mitra"/>
                <w:sz w:val="26"/>
                <w:szCs w:val="26"/>
                <w:rtl/>
                <w:lang w:bidi="fa-IR"/>
              </w:rPr>
              <w:t xml:space="preserve"> </w:t>
            </w:r>
            <w:r w:rsidRPr="00346B2A">
              <w:rPr>
                <w:rFonts w:cs="Mitra" w:hint="eastAsia"/>
                <w:sz w:val="26"/>
                <w:szCs w:val="26"/>
                <w:rtl/>
                <w:lang w:bidi="fa-IR"/>
              </w:rPr>
              <w:t>پرستاري</w:t>
            </w:r>
            <w:r w:rsidRPr="00346B2A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با تاکيد بر بنيادهاي نظري و کاربرد آن در عمل</w:t>
            </w:r>
            <w:r w:rsidRPr="00346B2A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(ادامه)</w:t>
            </w:r>
          </w:p>
        </w:tc>
        <w:tc>
          <w:tcPr>
            <w:tcW w:w="847" w:type="dxa"/>
          </w:tcPr>
          <w:p w14:paraId="00741B70" w14:textId="77777777" w:rsidR="008D7359" w:rsidRPr="00EB6DB3" w:rsidRDefault="008D7359" w:rsidP="008D73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8D7359" w14:paraId="136EFF23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79509570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6D4A4424" w14:textId="54089E23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5250220" w14:textId="589AEBAC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07CF78F2" w14:textId="1501CF99" w:rsidR="008D7359" w:rsidRPr="00442BE8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442BE8">
              <w:rPr>
                <w:rFonts w:cs="Mitra" w:hint="cs"/>
                <w:sz w:val="26"/>
                <w:szCs w:val="26"/>
                <w:rtl/>
                <w:lang w:bidi="fa-IR"/>
              </w:rPr>
              <w:t>نظر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442BE8">
              <w:rPr>
                <w:rFonts w:cs="Mitra" w:hint="cs"/>
                <w:sz w:val="26"/>
                <w:szCs w:val="26"/>
                <w:rtl/>
                <w:lang w:bidi="fa-IR"/>
              </w:rPr>
              <w:t>ه 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يس</w:t>
            </w:r>
            <w:r w:rsidRPr="00442BE8">
              <w:rPr>
                <w:rFonts w:cs="Mitra" w:hint="cs"/>
                <w:sz w:val="26"/>
                <w:szCs w:val="26"/>
                <w:rtl/>
                <w:lang w:bidi="fa-IR"/>
              </w:rPr>
              <w:t>تم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 های عمومی</w:t>
            </w:r>
          </w:p>
        </w:tc>
        <w:tc>
          <w:tcPr>
            <w:tcW w:w="847" w:type="dxa"/>
          </w:tcPr>
          <w:p w14:paraId="3D5F7DEF" w14:textId="77777777" w:rsidR="008D7359" w:rsidRPr="00EB6DB3" w:rsidRDefault="008D7359" w:rsidP="008D73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8D7359" w14:paraId="71572B7E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54CA2FF7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2425965D" w14:textId="0220F255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51063F62" w14:textId="44D999BE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77BA6505" w14:textId="20EB1BC4" w:rsidR="008D7359" w:rsidRPr="00EB6DB3" w:rsidRDefault="00442BE8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 xml:space="preserve">چارچوب های مفهومي و نظريه هاي پرستاري  </w:t>
            </w:r>
          </w:p>
        </w:tc>
        <w:tc>
          <w:tcPr>
            <w:tcW w:w="847" w:type="dxa"/>
          </w:tcPr>
          <w:p w14:paraId="44C26987" w14:textId="77777777" w:rsidR="008D7359" w:rsidRPr="00EB6DB3" w:rsidRDefault="008D7359" w:rsidP="008D73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8D7359" w14:paraId="78FF9686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08353BDA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62985D4" w14:textId="19030658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01FFCB25" w14:textId="27DC27DC" w:rsidR="008D7359" w:rsidRPr="008D7359" w:rsidRDefault="008D7359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4D20F59A" w14:textId="4E323168" w:rsidR="008D7359" w:rsidRPr="00EB6DB3" w:rsidRDefault="00442BE8" w:rsidP="008D735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</w:t>
            </w:r>
            <w:r w:rsidR="008D7359">
              <w:rPr>
                <w:rFonts w:cs="Mitra" w:hint="cs"/>
                <w:sz w:val="26"/>
                <w:szCs w:val="26"/>
                <w:rtl/>
                <w:lang w:bidi="fa-IR"/>
              </w:rPr>
              <w:t>اي مفهومي و نظريه هاي پرستاري (ادامه)</w:t>
            </w:r>
          </w:p>
        </w:tc>
        <w:tc>
          <w:tcPr>
            <w:tcW w:w="847" w:type="dxa"/>
          </w:tcPr>
          <w:p w14:paraId="047AE068" w14:textId="77777777" w:rsidR="008D7359" w:rsidRPr="00EB6DB3" w:rsidRDefault="008D7359" w:rsidP="008D735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8D7359" w14:paraId="0B11B5FB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663CBBAB" w:rsidR="008D7359" w:rsidRPr="008D7359" w:rsidRDefault="008D7359" w:rsidP="008D7359">
            <w:pPr>
              <w:bidi/>
              <w:rPr>
                <w:rFonts w:cs="Mitra"/>
                <w:b w:val="0"/>
                <w:bCs w:val="0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5046C733" w14:textId="3027CD76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4654C7B8" w14:textId="1EC6B3EF" w:rsidR="008D7359" w:rsidRPr="008D7359" w:rsidRDefault="008D7359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26"/>
                <w:szCs w:val="26"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3D7EAFAA" w14:textId="069802C8" w:rsidR="008D7359" w:rsidRPr="00EB6DB3" w:rsidRDefault="00442BE8" w:rsidP="008D735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هاي مفهومي و نظريه هاي پرستاري (ادامه)</w:t>
            </w:r>
          </w:p>
        </w:tc>
        <w:tc>
          <w:tcPr>
            <w:tcW w:w="847" w:type="dxa"/>
          </w:tcPr>
          <w:p w14:paraId="4025F416" w14:textId="77777777" w:rsidR="008D7359" w:rsidRPr="00EB6DB3" w:rsidRDefault="008D7359" w:rsidP="008D735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442BE8" w14:paraId="13F47642" w14:textId="77777777" w:rsidTr="004D4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4B04B8AC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دکتر نگارنده</w:t>
            </w:r>
          </w:p>
        </w:tc>
        <w:tc>
          <w:tcPr>
            <w:tcW w:w="2381" w:type="dxa"/>
          </w:tcPr>
          <w:p w14:paraId="5FC48F07" w14:textId="0F2D8CC8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2AFD7D0" w14:textId="617E9684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7EF6F8FC" w14:textId="50613931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هاي مفهومي و نظريه هاي پرستاري (ادامه)</w:t>
            </w:r>
          </w:p>
        </w:tc>
        <w:tc>
          <w:tcPr>
            <w:tcW w:w="847" w:type="dxa"/>
          </w:tcPr>
          <w:p w14:paraId="63BAE51D" w14:textId="77777777" w:rsidR="00442BE8" w:rsidRPr="00EB6DB3" w:rsidRDefault="00442BE8" w:rsidP="00442B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442BE8" w14:paraId="0BF7B2D4" w14:textId="77777777" w:rsidTr="00C90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3963034F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4ED51F92" w14:textId="2682D182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6129110F" w14:textId="03AC309C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7F805F29" w14:textId="7FD195FA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هاي مفهومي و نظريه هاي پرستاري (ادامه)</w:t>
            </w:r>
          </w:p>
        </w:tc>
        <w:tc>
          <w:tcPr>
            <w:tcW w:w="847" w:type="dxa"/>
          </w:tcPr>
          <w:p w14:paraId="7ACFAB9D" w14:textId="77777777" w:rsidR="00442BE8" w:rsidRPr="00EB6DB3" w:rsidRDefault="00442BE8" w:rsidP="00442B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442BE8" w14:paraId="626BDEA5" w14:textId="77777777" w:rsidTr="00943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754D6D87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4852EC0" w14:textId="366FBEAB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045F37B2" w14:textId="77F26BE0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53E86721" w14:textId="2A2174B3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هاي مفهومي و نظريه هاي پرستاري (ادامه)</w:t>
            </w:r>
          </w:p>
        </w:tc>
        <w:tc>
          <w:tcPr>
            <w:tcW w:w="847" w:type="dxa"/>
          </w:tcPr>
          <w:p w14:paraId="15C93110" w14:textId="77777777" w:rsidR="00442BE8" w:rsidRPr="00EB6DB3" w:rsidRDefault="00442BE8" w:rsidP="00442B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442BE8" w14:paraId="4F9C0152" w14:textId="77777777" w:rsidTr="001F6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61E96E75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  <w:r w:rsidRPr="008D7359">
              <w:rPr>
                <w:rFonts w:cs="Mitra" w:hint="cs"/>
                <w:b w:val="0"/>
                <w:bCs w:val="0"/>
                <w:sz w:val="26"/>
                <w:szCs w:val="26"/>
                <w:rtl/>
                <w:lang w:bidi="fa-IR"/>
              </w:rPr>
              <w:t>دکتر نگارنده</w:t>
            </w:r>
          </w:p>
        </w:tc>
        <w:tc>
          <w:tcPr>
            <w:tcW w:w="2381" w:type="dxa"/>
          </w:tcPr>
          <w:p w14:paraId="04C8965E" w14:textId="533F5A71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ارا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ه  تکال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ف کلاس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</w:p>
        </w:tc>
        <w:tc>
          <w:tcPr>
            <w:tcW w:w="2378" w:type="dxa"/>
          </w:tcPr>
          <w:p w14:paraId="1E3D477A" w14:textId="407D7605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>سخنران</w:t>
            </w:r>
            <w:r>
              <w:rPr>
                <w:rFonts w:cs="Mitra" w:hint="cs"/>
                <w:sz w:val="26"/>
                <w:szCs w:val="26"/>
                <w:rtl/>
                <w:lang w:bidi="fa-IR"/>
              </w:rPr>
              <w:t>ي</w:t>
            </w:r>
            <w:r w:rsidRPr="008D7359">
              <w:rPr>
                <w:rFonts w:cs="Mitra" w:hint="cs"/>
                <w:sz w:val="26"/>
                <w:szCs w:val="26"/>
                <w:rtl/>
                <w:lang w:bidi="fa-IR"/>
              </w:rPr>
              <w:t xml:space="preserve"> / پرسش و پاسخ</w:t>
            </w:r>
          </w:p>
        </w:tc>
        <w:tc>
          <w:tcPr>
            <w:tcW w:w="2375" w:type="dxa"/>
            <w:vAlign w:val="center"/>
          </w:tcPr>
          <w:p w14:paraId="2FEBD70F" w14:textId="282576E8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Mitra" w:hint="cs"/>
                <w:sz w:val="26"/>
                <w:szCs w:val="26"/>
                <w:rtl/>
                <w:lang w:bidi="fa-IR"/>
              </w:rPr>
              <w:t>چارچوب هاي مفهومي و نظريه هاي پرستاري (ادامه)</w:t>
            </w:r>
          </w:p>
        </w:tc>
        <w:tc>
          <w:tcPr>
            <w:tcW w:w="847" w:type="dxa"/>
          </w:tcPr>
          <w:p w14:paraId="05A615B9" w14:textId="77777777" w:rsidR="00442BE8" w:rsidRPr="00EB6DB3" w:rsidRDefault="00442BE8" w:rsidP="00442B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442BE8" w14:paraId="075BD974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442BE8" w:rsidRPr="00EB6DB3" w:rsidRDefault="00442BE8" w:rsidP="00442B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442BE8" w14:paraId="453C524B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442BE8" w:rsidRPr="00EB6DB3" w:rsidRDefault="00442BE8" w:rsidP="00442B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442BE8" w14:paraId="75ABA566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442BE8" w:rsidRPr="00EB6DB3" w:rsidRDefault="00442BE8" w:rsidP="00442B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442BE8" w14:paraId="49DDDD67" w14:textId="77777777" w:rsidTr="008D73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442BE8" w:rsidRPr="00EB6DB3" w:rsidRDefault="00442BE8" w:rsidP="00442B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442BE8" w:rsidRPr="00EB6DB3" w:rsidRDefault="00442BE8" w:rsidP="00442B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442BE8" w14:paraId="580AA5B9" w14:textId="77777777" w:rsidTr="008D7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442BE8" w:rsidRPr="00EB6DB3" w:rsidRDefault="00442BE8" w:rsidP="00442BE8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442BE8" w:rsidRPr="00EB6DB3" w:rsidRDefault="00442BE8" w:rsidP="00442BE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442BE8" w:rsidRPr="00EB6DB3" w:rsidRDefault="00442BE8" w:rsidP="00442B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0ABD50F0" w14:textId="26D892DF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عموم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، انجام تکال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در موعد مقرر، مطالعه منابع معرف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5F723064" w14:textId="77777777" w:rsidR="007C1F60" w:rsidRPr="007C1F60" w:rsidRDefault="007C1F60" w:rsidP="007C1F60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>تهيه و ارائه تکاليفي که در براي جلسه از قبل تعيين مي شود.</w:t>
      </w:r>
    </w:p>
    <w:p w14:paraId="3AB75B39" w14:textId="77777777" w:rsidR="007C1F60" w:rsidRPr="007C1F60" w:rsidRDefault="007C1F60" w:rsidP="007C1F60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 xml:space="preserve">معرفي يکي از نظريه هاي پرکاربرد در پرستاري سلامت جامعه و ارايه نمونه اي از کاربرد آن. </w:t>
      </w:r>
    </w:p>
    <w:p w14:paraId="27336CF4" w14:textId="77777777" w:rsidR="007C1F60" w:rsidRPr="007C1F60" w:rsidRDefault="007C1F60" w:rsidP="007C1F60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7C1F60">
        <w:rPr>
          <w:rFonts w:cs="B Nazanin" w:hint="cs"/>
          <w:sz w:val="24"/>
          <w:szCs w:val="24"/>
          <w:rtl/>
          <w:lang w:bidi="fa-IR"/>
        </w:rPr>
        <w:t>بکارگيري نظريه در حل مشکل/مشکلات مددجو/مددجويان و ارايه گزارش  آن به صورت کتبي و شفاهي.</w:t>
      </w:r>
    </w:p>
    <w:p w14:paraId="79708691" w14:textId="17512EE9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8D735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52F982D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ذکر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/تراکم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E96813D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029408B1" w14:textId="3A36C41B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CE77444" w14:textId="691ADBB2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ن نوع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 بازخورد اصلاح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رفع نقاط ضعف و تقو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 نقاط قوت دانشجو صورت پذ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رفته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با اختصاص سهم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آن، در نمره دانشجو تأث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رگذار باشد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آزمونک (کو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ز) 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6643DD5" w14:textId="2CF404AA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8D7359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ي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ي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5A6A512E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بسته پاسخ اعم از «چندگز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»، «جورکردن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کتب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ح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استدلال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ژگ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سنار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ونو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ساختن فرض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ساختارمند ع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اب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55E80F97" w14:textId="52058075" w:rsidR="007C1F60" w:rsidRPr="007C1F60" w:rsidRDefault="007C1F60" w:rsidP="007C1F6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فعال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شرکت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بحث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10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42AAF75C" w14:textId="14EC0EDF" w:rsidR="007C1F60" w:rsidRPr="007C1F60" w:rsidRDefault="007C1F60" w:rsidP="007C1F6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تهيه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ارايه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تکاليف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کلاسي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هفتگي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>10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33E066A7" w14:textId="68EC6E50" w:rsidR="007C1F60" w:rsidRPr="007C1F60" w:rsidRDefault="007C1F60" w:rsidP="007C1F6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معرفي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يکي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نظريه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هاي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پرکاربرد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پرستاري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جامعه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ارايه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نمونه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کاربرد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>30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27E89C5D" w14:textId="27CD5C24" w:rsidR="00924FDC" w:rsidRDefault="007C1F60" w:rsidP="007C1F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C1F60">
        <w:rPr>
          <w:rFonts w:asciiTheme="majorBidi" w:hAnsiTheme="majorBidi" w:cs="B Nazanin" w:hint="cs"/>
          <w:sz w:val="24"/>
          <w:szCs w:val="24"/>
          <w:rtl/>
          <w:lang w:bidi="fa-IR"/>
        </w:rPr>
        <w:t>نهايي</w:t>
      </w:r>
      <w:r w:rsidRPr="007C1F60">
        <w:rPr>
          <w:rFonts w:asciiTheme="majorBidi" w:hAnsiTheme="majorBidi" w:cs="B Nazanin"/>
          <w:sz w:val="24"/>
          <w:szCs w:val="24"/>
          <w:rtl/>
          <w:lang w:bidi="fa-IR"/>
        </w:rPr>
        <w:t>50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%</w:t>
      </w:r>
    </w:p>
    <w:p w14:paraId="34DD28C8" w14:textId="77777777" w:rsid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3723ED9" w14:textId="77777777" w:rsidR="00924FDC" w:rsidRPr="00924FDC" w:rsidRDefault="00924FDC" w:rsidP="00924FD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16E2A290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519FC56B" w:rsidR="0067621F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الکترون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597620CD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8D7359">
        <w:rPr>
          <w:rFonts w:asciiTheme="majorBidi" w:hAnsiTheme="majorBidi" w:cs="B Nazanin" w:hint="cs"/>
          <w:sz w:val="24"/>
          <w:szCs w:val="24"/>
          <w:rtl/>
          <w:lang w:bidi="fa-IR"/>
        </w:rPr>
        <w:t>ي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316F1C2" w14:textId="77777777" w:rsidR="00BB5654" w:rsidRPr="00BB5654" w:rsidRDefault="005172AE" w:rsidP="00B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BB5654" w:rsidRPr="00BB5654"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https://www.currentnursing.com/</w:t>
        </w:r>
      </w:hyperlink>
    </w:p>
    <w:p w14:paraId="124571E7" w14:textId="77777777" w:rsidR="00BB5654" w:rsidRPr="00BB5654" w:rsidRDefault="00BB5654" w:rsidP="00BB5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2F56E8" w14:textId="77777777" w:rsidR="00BB5654" w:rsidRPr="00BB5654" w:rsidRDefault="005172AE" w:rsidP="00BB565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6"/>
          <w:szCs w:val="36"/>
        </w:rPr>
      </w:pPr>
      <w:hyperlink r:id="rId10" w:tgtFrame="_blank" w:history="1">
        <w:r w:rsidR="00BB5654" w:rsidRPr="00BB5654"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https://nurseslabs.com/</w:t>
        </w:r>
      </w:hyperlink>
    </w:p>
    <w:p w14:paraId="31FAF3CB" w14:textId="77777777" w:rsidR="007C1F60" w:rsidRDefault="007C1F60" w:rsidP="007C1F6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</w:p>
    <w:p w14:paraId="03677BE1" w14:textId="77777777" w:rsidR="007C1F60" w:rsidRDefault="007C1F60" w:rsidP="007C1F60">
      <w:pPr>
        <w:spacing w:after="0"/>
        <w:jc w:val="both"/>
        <w:rPr>
          <w:rFonts w:ascii="Times-Roman" w:hAnsi="Times-Roman" w:cs="Times-Roman"/>
          <w:color w:val="191919"/>
          <w:sz w:val="16"/>
          <w:szCs w:val="16"/>
          <w:rtl/>
        </w:rPr>
      </w:pPr>
    </w:p>
    <w:p w14:paraId="34082501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1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3A563453" wp14:editId="182223CE">
              <wp:extent cx="1157288" cy="1543050"/>
              <wp:effectExtent l="0" t="0" r="5080" b="0"/>
              <wp:docPr id="8" name="Picture 8" descr="http://syndetics.com/index.aspx?isbn=9780826117267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syndetics.com/index.aspx?isbn=9780826117267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9170" cy="15455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>Self Care</w:t>
        </w:r>
        <w:proofErr w:type="spellEnd"/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 Theory in Nursing (online)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Dorothea E. Orem; Kathie </w:t>
        </w:r>
      </w:hyperlink>
    </w:p>
    <w:p w14:paraId="37806F08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2003</w:t>
      </w:r>
    </w:p>
    <w:p w14:paraId="55304D50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3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70C44C88" wp14:editId="35B8EE2D">
              <wp:extent cx="1028700" cy="1541124"/>
              <wp:effectExtent l="0" t="0" r="0" b="2540"/>
              <wp:docPr id="7" name="Picture 7" descr="http://syndetics.com/index.aspx?isbn=0135135834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syndetics.com/index.aspx?isbn=0135135834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8700" cy="1541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Theories: the base for professional nursing practice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Julia B. George </w:t>
        </w:r>
      </w:hyperlink>
    </w:p>
    <w:p w14:paraId="3912D3E0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2256FBBD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5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1295F610" wp14:editId="1E0D82C1">
              <wp:extent cx="1247775" cy="1808370"/>
              <wp:effectExtent l="0" t="0" r="0" b="1905"/>
              <wp:docPr id="6" name="Picture 6" descr="http://syndetics.com/index.aspx?isbn=1609137485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syndetics.com/index.aspx?isbn=1609137485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7775" cy="1808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Perspectives on Nursing Theory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Pamela G. Reed; </w:t>
        </w:r>
        <w:proofErr w:type="spellStart"/>
        <w:r w:rsidR="007C1F60" w:rsidRPr="00345717">
          <w:rPr>
            <w:rFonts w:ascii="Arial" w:eastAsia="Times New Roman" w:hAnsi="Arial" w:cs="Arial"/>
            <w:color w:val="337AB7"/>
            <w:lang w:val="en"/>
          </w:rPr>
          <w:t>Nelma</w:t>
        </w:r>
        <w:proofErr w:type="spellEnd"/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 B. Crawford Shearer </w:t>
        </w:r>
      </w:hyperlink>
    </w:p>
    <w:p w14:paraId="7E044072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2011</w:t>
      </w:r>
    </w:p>
    <w:p w14:paraId="04295DDD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7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075DEFC6" wp14:editId="39C4213F">
              <wp:extent cx="1265301" cy="1562100"/>
              <wp:effectExtent l="0" t="0" r="0" b="0"/>
              <wp:docPr id="5" name="Picture 5" descr="http://syndetics.com/index.aspx?isbn=9780323091947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://syndetics.com/index.aspx?isbn=9780323091947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8377" cy="1565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Theorists and Their Work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Martha </w:t>
        </w:r>
        <w:proofErr w:type="spellStart"/>
        <w:r w:rsidR="007C1F60" w:rsidRPr="00345717">
          <w:rPr>
            <w:rFonts w:ascii="Arial" w:eastAsia="Times New Roman" w:hAnsi="Arial" w:cs="Arial"/>
            <w:color w:val="337AB7"/>
            <w:lang w:val="en"/>
          </w:rPr>
          <w:t>Raile</w:t>
        </w:r>
        <w:proofErr w:type="spellEnd"/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 </w:t>
        </w:r>
        <w:proofErr w:type="spellStart"/>
        <w:r w:rsidR="007C1F60" w:rsidRPr="00345717">
          <w:rPr>
            <w:rFonts w:ascii="Arial" w:eastAsia="Times New Roman" w:hAnsi="Arial" w:cs="Arial"/>
            <w:color w:val="337AB7"/>
            <w:lang w:val="en"/>
          </w:rPr>
          <w:t>Alligood</w:t>
        </w:r>
        <w:proofErr w:type="spellEnd"/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 </w:t>
        </w:r>
      </w:hyperlink>
    </w:p>
    <w:p w14:paraId="420291EB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ISBN: 9780323091947</w:t>
      </w:r>
    </w:p>
    <w:p w14:paraId="77A4CBC5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2013</w:t>
      </w:r>
    </w:p>
    <w:p w14:paraId="082A37E3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19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343C4F12" wp14:editId="08B22F92">
              <wp:extent cx="1552766" cy="2352675"/>
              <wp:effectExtent l="0" t="0" r="9525" b="0"/>
              <wp:docPr id="4" name="Picture 4" descr="http://images.amazon.com/images/P/076377986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images.amazon.com/images/P/0763779865.jpg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2766" cy="2352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Philosophies and Theories for Advanced Nursing Practice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Janie B. Butts; Karen L. Rich </w:t>
        </w:r>
      </w:hyperlink>
    </w:p>
    <w:p w14:paraId="56AEA18E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0478B73B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21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36D7B933" wp14:editId="0CE8A61C">
              <wp:extent cx="1341525" cy="2009775"/>
              <wp:effectExtent l="0" t="0" r="0" b="0"/>
              <wp:docPr id="3" name="Picture 3" descr="http://syndetics.com/index.aspx?isbn=9780135135839/LC.GIF&amp;client=springsha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://syndetics.com/index.aspx?isbn=9780135135839/LC.GIF&amp;client=springshare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1525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Nursing Theories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Julia B. George </w:t>
        </w:r>
      </w:hyperlink>
    </w:p>
    <w:p w14:paraId="261A0277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2010</w:t>
      </w:r>
    </w:p>
    <w:p w14:paraId="4EDD5344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22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43925B6" wp14:editId="2F689108">
              <wp:extent cx="1311669" cy="1647825"/>
              <wp:effectExtent l="0" t="0" r="3175" b="0"/>
              <wp:docPr id="9" name="Picture 9" descr="http://images.amazon.com/images/P/007135397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://images.amazon.com/images/P/0071353976.jpg"/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3853" cy="16505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Transcultural Nursing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Madeleine </w:t>
        </w:r>
        <w:proofErr w:type="spellStart"/>
        <w:r w:rsidR="007C1F60" w:rsidRPr="00345717">
          <w:rPr>
            <w:rFonts w:ascii="Arial" w:eastAsia="Times New Roman" w:hAnsi="Arial" w:cs="Arial"/>
            <w:color w:val="337AB7"/>
            <w:lang w:val="en"/>
          </w:rPr>
          <w:t>Leininger</w:t>
        </w:r>
        <w:proofErr w:type="spellEnd"/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; Marilyn R. McFarland </w:t>
        </w:r>
      </w:hyperlink>
    </w:p>
    <w:p w14:paraId="1BD02ED9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2002</w:t>
      </w:r>
    </w:p>
    <w:p w14:paraId="1CA1F7D3" w14:textId="77777777" w:rsidR="007C1F60" w:rsidRPr="00345717" w:rsidRDefault="005172AE" w:rsidP="007C1F6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hyperlink r:id="rId24" w:tgtFrame="_blank" w:history="1">
        <w:r w:rsidR="007C1F60">
          <w:rPr>
            <w:rFonts w:ascii="Arial" w:eastAsia="Times New Roman" w:hAnsi="Arial" w:cs="Arial"/>
            <w:noProof/>
            <w:color w:val="337AB7"/>
          </w:rPr>
          <w:drawing>
            <wp:inline distT="0" distB="0" distL="0" distR="0" wp14:anchorId="5990B88C" wp14:editId="2004A821">
              <wp:extent cx="1314450" cy="2079826"/>
              <wp:effectExtent l="0" t="0" r="0" b="0"/>
              <wp:docPr id="1" name="Picture 1" descr="http://images.amazon.com/images/P/0130480606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://images.amazon.com/images/P/0130480606.jpg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5445" cy="20814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C1F60" w:rsidRPr="00345717">
          <w:rPr>
            <w:rFonts w:ascii="Arial" w:eastAsia="Times New Roman" w:hAnsi="Arial" w:cs="Arial"/>
            <w:b/>
            <w:bCs/>
            <w:color w:val="337AB7"/>
            <w:lang w:val="en"/>
          </w:rPr>
          <w:t xml:space="preserve">Conceptual Models of Nursing (print) </w:t>
        </w:r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by Joyce J. Fitzpatrick; Ann L. </w:t>
        </w:r>
        <w:proofErr w:type="spellStart"/>
        <w:r w:rsidR="007C1F60" w:rsidRPr="00345717">
          <w:rPr>
            <w:rFonts w:ascii="Arial" w:eastAsia="Times New Roman" w:hAnsi="Arial" w:cs="Arial"/>
            <w:color w:val="337AB7"/>
            <w:lang w:val="en"/>
          </w:rPr>
          <w:t>Whall</w:t>
        </w:r>
        <w:proofErr w:type="spellEnd"/>
        <w:r w:rsidR="007C1F60" w:rsidRPr="00345717">
          <w:rPr>
            <w:rFonts w:ascii="Arial" w:eastAsia="Times New Roman" w:hAnsi="Arial" w:cs="Arial"/>
            <w:color w:val="337AB7"/>
            <w:lang w:val="en"/>
          </w:rPr>
          <w:t xml:space="preserve"> </w:t>
        </w:r>
      </w:hyperlink>
    </w:p>
    <w:p w14:paraId="0CAD2DF3" w14:textId="77777777" w:rsidR="007C1F60" w:rsidRPr="00345717" w:rsidRDefault="007C1F60" w:rsidP="007C1F60">
      <w:pPr>
        <w:shd w:val="clear" w:color="auto" w:fill="FFFFFF"/>
        <w:spacing w:before="100" w:beforeAutospacing="1" w:after="100" w:afterAutospacing="1" w:line="240" w:lineRule="auto"/>
        <w:ind w:left="270"/>
        <w:textAlignment w:val="top"/>
        <w:rPr>
          <w:rFonts w:ascii="Arial" w:eastAsia="Times New Roman" w:hAnsi="Arial" w:cs="Arial"/>
          <w:color w:val="333333"/>
          <w:lang w:val="en"/>
        </w:rPr>
      </w:pPr>
      <w:r w:rsidRPr="00345717">
        <w:rPr>
          <w:rFonts w:ascii="Arial" w:eastAsia="Times New Roman" w:hAnsi="Arial" w:cs="Arial"/>
          <w:color w:val="333333"/>
          <w:lang w:val="en"/>
        </w:rPr>
        <w:t>Publication Date: 2004</w:t>
      </w:r>
    </w:p>
    <w:p w14:paraId="6AC88403" w14:textId="77777777" w:rsidR="007C1F60" w:rsidRPr="00BE5A8A" w:rsidRDefault="007C1F60" w:rsidP="007C1F60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b/>
          <w:bCs/>
          <w:color w:val="333333"/>
          <w:lang w:val="en"/>
        </w:rPr>
      </w:pPr>
      <w:r>
        <w:rPr>
          <w:rFonts w:ascii="Arial" w:eastAsia="Times New Roman" w:hAnsi="Arial" w:cs="Arial"/>
          <w:b/>
          <w:bCs/>
          <w:noProof/>
          <w:color w:val="333333"/>
        </w:rPr>
        <w:drawing>
          <wp:inline distT="0" distB="0" distL="0" distR="0" wp14:anchorId="6DB2C896" wp14:editId="7EC61115">
            <wp:extent cx="1152525" cy="164317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1wApZu6L__SX348_BO1,204,203,200_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835" cy="164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5A8A">
        <w:rPr>
          <w:rFonts w:ascii="Arial" w:eastAsia="Times New Roman" w:hAnsi="Arial" w:cs="Arial"/>
          <w:b/>
          <w:bCs/>
          <w:color w:val="333333"/>
          <w:lang w:val="en"/>
        </w:rPr>
        <w:t xml:space="preserve">Theoretical </w:t>
      </w:r>
      <w:proofErr w:type="gramStart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>nursing :</w:t>
      </w:r>
      <w:proofErr w:type="gramEnd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 xml:space="preserve"> development and progress / </w:t>
      </w:r>
      <w:proofErr w:type="spellStart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>Afaf</w:t>
      </w:r>
      <w:proofErr w:type="spellEnd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 xml:space="preserve"> Ibrahim </w:t>
      </w:r>
      <w:proofErr w:type="spellStart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>Meleis,Pennsylvania</w:t>
      </w:r>
      <w:proofErr w:type="spellEnd"/>
      <w:r w:rsidRPr="00BE5A8A">
        <w:rPr>
          <w:rFonts w:ascii="Arial" w:eastAsia="Times New Roman" w:hAnsi="Arial" w:cs="Arial"/>
          <w:b/>
          <w:bCs/>
          <w:color w:val="333333"/>
          <w:lang w:val="en"/>
        </w:rPr>
        <w:t>. — Fifth Edition</w:t>
      </w:r>
    </w:p>
    <w:p w14:paraId="297D64E5" w14:textId="77777777" w:rsidR="007C1F60" w:rsidRPr="00C43F02" w:rsidRDefault="007C1F60" w:rsidP="007C1F60">
      <w:pPr>
        <w:spacing w:after="0"/>
        <w:rPr>
          <w:rFonts w:asciiTheme="majorBidi" w:hAnsiTheme="majorBidi" w:cstheme="majorBidi"/>
          <w:sz w:val="26"/>
          <w:szCs w:val="26"/>
          <w:lang w:bidi="fa-IR"/>
        </w:rPr>
      </w:pPr>
    </w:p>
    <w:p w14:paraId="4A947E22" w14:textId="77777777" w:rsidR="007C1F60" w:rsidRPr="004A5A5F" w:rsidRDefault="007C1F60" w:rsidP="007C1F60">
      <w:pPr>
        <w:spacing w:after="0"/>
        <w:rPr>
          <w:rFonts w:asciiTheme="majorBidi" w:hAnsiTheme="majorBidi" w:cstheme="majorBidi"/>
          <w:sz w:val="26"/>
          <w:szCs w:val="26"/>
          <w:lang w:bidi="fa-IR"/>
        </w:rPr>
      </w:pPr>
    </w:p>
    <w:p w14:paraId="3DB7A921" w14:textId="77777777" w:rsidR="007C1F60" w:rsidRDefault="007C1F60" w:rsidP="007C1F6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p w14:paraId="49E03B78" w14:textId="77777777" w:rsidR="007C1F60" w:rsidRDefault="007C1F60" w:rsidP="007C1F60">
      <w:pPr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</w:p>
    <w:sectPr w:rsidR="007C1F60" w:rsidSect="00F51BF7">
      <w:footerReference w:type="default" r:id="rId27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D169" w14:textId="77777777" w:rsidR="00173F9F" w:rsidRDefault="00173F9F" w:rsidP="00EB6DB3">
      <w:pPr>
        <w:spacing w:after="0" w:line="240" w:lineRule="auto"/>
      </w:pPr>
      <w:r>
        <w:separator/>
      </w:r>
    </w:p>
  </w:endnote>
  <w:endnote w:type="continuationSeparator" w:id="0">
    <w:p w14:paraId="664B264B" w14:textId="77777777" w:rsidR="00173F9F" w:rsidRDefault="00173F9F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140B17C" w:rsidR="008D7359" w:rsidRDefault="008D7359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2A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8D7359" w:rsidRDefault="008D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1F3A" w14:textId="77777777" w:rsidR="00173F9F" w:rsidRDefault="00173F9F" w:rsidP="00EB6DB3">
      <w:pPr>
        <w:spacing w:after="0" w:line="240" w:lineRule="auto"/>
      </w:pPr>
      <w:r>
        <w:separator/>
      </w:r>
    </w:p>
  </w:footnote>
  <w:footnote w:type="continuationSeparator" w:id="0">
    <w:p w14:paraId="6B078746" w14:textId="77777777" w:rsidR="00173F9F" w:rsidRDefault="00173F9F" w:rsidP="00EB6DB3">
      <w:pPr>
        <w:spacing w:after="0" w:line="240" w:lineRule="auto"/>
      </w:pPr>
      <w:r>
        <w:continuationSeparator/>
      </w:r>
    </w:p>
  </w:footnote>
  <w:footnote w:id="1">
    <w:p w14:paraId="23459BAF" w14:textId="4282CD8D" w:rsidR="008D7359" w:rsidRPr="00B237F7" w:rsidRDefault="008D7359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</w:t>
      </w:r>
      <w:r w:rsidR="00B22D15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</w:t>
      </w:r>
      <w:r w:rsidR="00B22D15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، 1 واحد عمل</w:t>
      </w:r>
      <w:r w:rsidR="00B22D15">
        <w:rPr>
          <w:rFonts w:ascii="Times New Roman" w:eastAsia="Times New Roman" w:hAnsi="Times New Roman" w:cs="B Nazanin" w:hint="cs"/>
          <w:color w:val="000000"/>
          <w:rtl/>
          <w:lang w:bidi="fa-IR"/>
        </w:rPr>
        <w:t>ي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)</w:t>
      </w:r>
    </w:p>
    <w:p w14:paraId="1257EDBA" w14:textId="213BAA12" w:rsidR="008D7359" w:rsidRDefault="008D7359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8D7359" w:rsidRDefault="008D7359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8D7359" w:rsidRPr="00DB4835" w:rsidRDefault="008D7359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8D7359" w:rsidRDefault="008D7359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100F7D25" w:rsidR="008D7359" w:rsidRPr="0006432E" w:rsidRDefault="008D7359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ن وظا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مصاد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ق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از وظا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ف عموم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هستند و  م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آموزش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اعم از حضور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 xml:space="preserve"> و مجاز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1415676" w:rsidR="008D7359" w:rsidRPr="00B9475A" w:rsidRDefault="008D7359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ارز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تکو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>ن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اب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</w:t>
      </w:r>
      <w:r w:rsidR="00B22D15">
        <w:rPr>
          <w:rFonts w:ascii="Times New Roman" w:hAnsi="Times New Roman" w:cs="B Nazanin" w:hint="cs"/>
          <w:sz w:val="14"/>
          <w:szCs w:val="20"/>
          <w:rtl/>
          <w:lang w:bidi="fa-IR"/>
        </w:rPr>
        <w:t>ي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8D7359" w:rsidRDefault="008D7359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8D7359" w:rsidRDefault="008D7359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8D7359" w:rsidRDefault="008D7359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8D7359" w:rsidRDefault="008D7359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0B8CD2A2" w:rsidR="008D7359" w:rsidRDefault="008D7359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بال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روش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>
        <w:rPr>
          <w:rFonts w:ascii="Times New Roman" w:hAnsi="Times New Roman" w:cs="B Nazanin" w:hint="cs"/>
          <w:sz w:val="14"/>
          <w:rtl/>
          <w:lang w:bidi="fa-IR"/>
        </w:rPr>
        <w:t>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ارز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اب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عمل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(پروس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جرها) طراح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شده است. در ا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ن روش فراگ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</w:t>
      </w:r>
      <w:r w:rsidR="00B22D15">
        <w:rPr>
          <w:rFonts w:ascii="Times New Roman" w:hAnsi="Times New Roman" w:cs="B Nazanin" w:hint="cs"/>
          <w:sz w:val="14"/>
          <w:rtl/>
          <w:lang w:bidi="fa-IR"/>
        </w:rPr>
        <w:t>ي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8D7359" w:rsidRDefault="008D7359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8D7359" w:rsidRPr="003D5FAE" w:rsidRDefault="008D7359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9F7"/>
    <w:multiLevelType w:val="multilevel"/>
    <w:tmpl w:val="24C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96913"/>
    <w:multiLevelType w:val="hybridMultilevel"/>
    <w:tmpl w:val="97F8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sDQxsjQ1NjEyNTRU0lEKTi0uzszPAykwrQUAhlBjPy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73F9F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2BE8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72AE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445BE"/>
    <w:rsid w:val="0065017B"/>
    <w:rsid w:val="006562BE"/>
    <w:rsid w:val="0067621F"/>
    <w:rsid w:val="00684E56"/>
    <w:rsid w:val="006B7D33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1F60"/>
    <w:rsid w:val="007E0732"/>
    <w:rsid w:val="007E604E"/>
    <w:rsid w:val="007F2C21"/>
    <w:rsid w:val="007F4389"/>
    <w:rsid w:val="008049EB"/>
    <w:rsid w:val="00812EFA"/>
    <w:rsid w:val="00816A2F"/>
    <w:rsid w:val="0084729F"/>
    <w:rsid w:val="00852EA4"/>
    <w:rsid w:val="00885BF8"/>
    <w:rsid w:val="00896A0B"/>
    <w:rsid w:val="008A1031"/>
    <w:rsid w:val="008C1F03"/>
    <w:rsid w:val="008D7359"/>
    <w:rsid w:val="008E495F"/>
    <w:rsid w:val="00914CAC"/>
    <w:rsid w:val="00924FDC"/>
    <w:rsid w:val="00933443"/>
    <w:rsid w:val="009340B5"/>
    <w:rsid w:val="009375F5"/>
    <w:rsid w:val="00946D4D"/>
    <w:rsid w:val="00971252"/>
    <w:rsid w:val="009A0090"/>
    <w:rsid w:val="009A5A96"/>
    <w:rsid w:val="009E629C"/>
    <w:rsid w:val="009F4CC0"/>
    <w:rsid w:val="00A01D0A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2D15"/>
    <w:rsid w:val="00B237F7"/>
    <w:rsid w:val="00B37985"/>
    <w:rsid w:val="00B420E2"/>
    <w:rsid w:val="00B4711B"/>
    <w:rsid w:val="00B77FBC"/>
    <w:rsid w:val="00B80410"/>
    <w:rsid w:val="00B9475A"/>
    <w:rsid w:val="00B977E0"/>
    <w:rsid w:val="00BB5654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DefaultParagraphFont"/>
    <w:rsid w:val="00BB5654"/>
  </w:style>
  <w:style w:type="character" w:styleId="Hyperlink">
    <w:name w:val="Hyperlink"/>
    <w:basedOn w:val="DefaultParagraphFont"/>
    <w:uiPriority w:val="99"/>
    <w:semiHidden/>
    <w:unhideWhenUsed/>
    <w:rsid w:val="00BB5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scu-scsu-primo.hosted.exlibrisgroup.com/primo-explore/fulldisplay?docid=01CSCU_NETWORK_ALMA7185530020003451&amp;context=L&amp;vid=SCSU_V1&amp;search_scope=SCSU_ALMA&amp;isFrbr=true&amp;tab=default_tab&amp;lang=en_US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hyperlink" Target="https://cscu-scsu-primo.hosted.exlibrisgroup.com/primo-explore/fulldisplay?docid=01CSCU_NETWORK_ALMA7185530020003451&amp;context=L&amp;vid=SCSU_V1&amp;search_scope=SCSU_ALMA&amp;isFrbr=true&amp;tab=default_tab&amp;lang=en_U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cscu-scsu-primo.hosted.exlibrisgroup.com/primo-explore/fulldisplay?docid=01CSCU_NETWORK_ALMA7185534000003451&amp;context=L&amp;vid=SCSU_V1&amp;search_scope=SCSU_ALMA&amp;isFrbr=true&amp;tab=default_tab&amp;lang=en_US" TargetMode="Externa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su.idm.oclc.org/login?url=http://search.ebscohost.com/login.aspx?direct=true&amp;db=nlebk&amp;AN=246200&amp;site=ehost-live" TargetMode="External"/><Relationship Id="rId24" Type="http://schemas.openxmlformats.org/officeDocument/2006/relationships/hyperlink" Target="https://cscu-scsu-primo.hosted.exlibrisgroup.com/primo-explore/fulldisplay?docid=01CSCU_NETWORK_ALMA7189503970003451&amp;context=L&amp;vid=SCSU_V1&amp;search_scope=SCSU_ALMA&amp;isFrbr=true&amp;tab=default_tab&amp;lang=en_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cu-scsu-primo.hosted.exlibrisgroup.com/primo-explore/fulldisplay?docid=01CSCU_NETWORK_ALMA7187534400003451&amp;context=L&amp;vid=SCSU_V1&amp;search_scope=SCSU_ALMA&amp;isFrbr=true&amp;tab=default_tab&amp;lang=en_US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hyperlink" Target="https://nurseslabs.com/" TargetMode="External"/><Relationship Id="rId19" Type="http://schemas.openxmlformats.org/officeDocument/2006/relationships/hyperlink" Target="https://cscu-scsu-primo.hosted.exlibrisgroup.com/primo-explore/fulldisplay?docid=01CSCU_NETWORK_ALMA7186665970003451&amp;context=L&amp;vid=SCSU_V1&amp;search_scope=SCSU_ALMA&amp;isFrbr=true&amp;tab=default_tab&amp;lang=en_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rrentnursing.com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cscu-scsu-primo.hosted.exlibrisgroup.com/primo-explore/fulldisplay?docid=01CSCU_NETWORK_ALMA7180099630003451&amp;context=L&amp;vid=SCSU_V1&amp;search_scope=SCSU_ALMA&amp;tab=default_tab&amp;lang=en_U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9F07-AD63-4CA7-893F-2E69C06B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1165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Reza Negarandeh</cp:lastModifiedBy>
  <cp:revision>3</cp:revision>
  <cp:lastPrinted>2020-08-02T12:25:00Z</cp:lastPrinted>
  <dcterms:created xsi:type="dcterms:W3CDTF">2023-10-22T09:14:00Z</dcterms:created>
  <dcterms:modified xsi:type="dcterms:W3CDTF">2024-09-23T04:33:00Z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1cd4d8f8f32729278d65b202462b69107f8a227a4c2f1cc438029f3e3ad538d7</vt:lpwstr>
  </property>
</Properties>
</file>